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7F" w:rsidRDefault="00265BC1" w:rsidP="0007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FD">
        <w:rPr>
          <w:rFonts w:ascii="Times New Roman" w:hAnsi="Times New Roman" w:cs="Times New Roman"/>
          <w:b/>
          <w:sz w:val="28"/>
          <w:szCs w:val="28"/>
        </w:rPr>
        <w:t>Вопросы</w:t>
      </w:r>
      <w:r w:rsidR="00070D7F">
        <w:rPr>
          <w:rFonts w:ascii="Times New Roman" w:hAnsi="Times New Roman" w:cs="Times New Roman"/>
          <w:b/>
          <w:sz w:val="28"/>
          <w:szCs w:val="28"/>
        </w:rPr>
        <w:t>,</w:t>
      </w:r>
      <w:r w:rsidRPr="002403FD">
        <w:rPr>
          <w:rFonts w:ascii="Times New Roman" w:hAnsi="Times New Roman" w:cs="Times New Roman"/>
          <w:b/>
          <w:sz w:val="28"/>
          <w:szCs w:val="28"/>
        </w:rPr>
        <w:t xml:space="preserve"> поступившие в ходе проведения публичных слушаний</w:t>
      </w:r>
      <w:r w:rsidR="00070D7F" w:rsidRPr="00070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D7F" w:rsidRPr="00AC25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70D7F">
        <w:rPr>
          <w:rFonts w:ascii="Times New Roman" w:hAnsi="Times New Roman" w:cs="Times New Roman"/>
          <w:b/>
          <w:sz w:val="28"/>
          <w:szCs w:val="28"/>
        </w:rPr>
        <w:t xml:space="preserve">годовому </w:t>
      </w:r>
      <w:r w:rsidR="00070D7F" w:rsidRPr="00AC25F2">
        <w:rPr>
          <w:rFonts w:ascii="Times New Roman" w:hAnsi="Times New Roman" w:cs="Times New Roman"/>
          <w:b/>
          <w:sz w:val="28"/>
          <w:szCs w:val="28"/>
        </w:rPr>
        <w:t>отчету об исполнении областного бюджета за 201</w:t>
      </w:r>
      <w:r w:rsidR="00070D7F">
        <w:rPr>
          <w:rFonts w:ascii="Times New Roman" w:hAnsi="Times New Roman" w:cs="Times New Roman"/>
          <w:b/>
          <w:sz w:val="28"/>
          <w:szCs w:val="28"/>
        </w:rPr>
        <w:t>7</w:t>
      </w:r>
      <w:r w:rsidR="00070D7F" w:rsidRPr="00AC25F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403FD">
        <w:rPr>
          <w:rFonts w:ascii="Times New Roman" w:hAnsi="Times New Roman" w:cs="Times New Roman"/>
          <w:b/>
          <w:sz w:val="28"/>
          <w:szCs w:val="28"/>
        </w:rPr>
        <w:t xml:space="preserve">, и </w:t>
      </w:r>
      <w:r w:rsidR="00070D7F" w:rsidRPr="00070D7F">
        <w:rPr>
          <w:rFonts w:ascii="Times New Roman" w:hAnsi="Times New Roman" w:cs="Times New Roman"/>
          <w:b/>
          <w:sz w:val="28"/>
          <w:szCs w:val="28"/>
        </w:rPr>
        <w:t>ответы, направленные участникам публичных слушаний</w:t>
      </w:r>
    </w:p>
    <w:p w:rsidR="00070D7F" w:rsidRPr="002403FD" w:rsidRDefault="00070D7F" w:rsidP="00265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93" w:type="dxa"/>
        <w:tblLook w:val="04A0" w:firstRow="1" w:lastRow="0" w:firstColumn="1" w:lastColumn="0" w:noHBand="0" w:noVBand="1"/>
      </w:tblPr>
      <w:tblGrid>
        <w:gridCol w:w="813"/>
        <w:gridCol w:w="6808"/>
        <w:gridCol w:w="7472"/>
      </w:tblGrid>
      <w:tr w:rsidR="00E252C4" w:rsidRPr="0089103D" w:rsidTr="00E252C4">
        <w:trPr>
          <w:tblHeader/>
        </w:trPr>
        <w:tc>
          <w:tcPr>
            <w:tcW w:w="813" w:type="dxa"/>
            <w:vAlign w:val="center"/>
          </w:tcPr>
          <w:p w:rsidR="00E252C4" w:rsidRPr="0089103D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8" w:type="dxa"/>
            <w:vAlign w:val="center"/>
          </w:tcPr>
          <w:p w:rsidR="00E252C4" w:rsidRPr="0089103D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Вопросы, представленные участниками публичных слушаний на едином портале бюджетной системы</w:t>
            </w:r>
          </w:p>
        </w:tc>
        <w:tc>
          <w:tcPr>
            <w:tcW w:w="7472" w:type="dxa"/>
            <w:vAlign w:val="center"/>
          </w:tcPr>
          <w:p w:rsidR="00E252C4" w:rsidRPr="0089103D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департаментом финансов Брянской области (ответы, направленные участникам публичных слушаний)</w:t>
            </w:r>
          </w:p>
        </w:tc>
      </w:tr>
      <w:tr w:rsidR="00E252C4" w:rsidRPr="0089103D" w:rsidTr="00E252C4">
        <w:trPr>
          <w:trHeight w:val="85"/>
        </w:trPr>
        <w:tc>
          <w:tcPr>
            <w:tcW w:w="813" w:type="dxa"/>
          </w:tcPr>
          <w:p w:rsidR="00E252C4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E252C4" w:rsidRPr="00B96183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Скажите, сколько в 2017 году из всех уплаченных налогов ушло в федеральный бюджет, а сколько поступило в областной?</w:t>
            </w:r>
          </w:p>
        </w:tc>
        <w:tc>
          <w:tcPr>
            <w:tcW w:w="7472" w:type="dxa"/>
          </w:tcPr>
          <w:p w:rsidR="00E252C4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налогоплательщиков, осуществляющих деятельность на территории Брянской области, в 2017 году поступило в бюджеты всех уровней налогов и сборов (с учетом доходов, зачисляемых в федеральный бюджет) 49 415,1 млн. рублей. </w:t>
            </w:r>
          </w:p>
          <w:p w:rsidR="00E252C4" w:rsidRPr="00B96183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общего объема средств, в федеральный бюджет поступило 16 574,6 млн. рублей или 33,5 процента, в консолидированный бюджет области – 32 840,5 млн. рублей или 66,5 процента, в том числе 24 993 млн. рублей (50,6 процента) в областной бюджет и 7 847,5 млн. рублей (15,9 процента) в бюджеты муниципальных образований. </w:t>
            </w:r>
          </w:p>
        </w:tc>
      </w:tr>
      <w:tr w:rsidR="00E252C4" w:rsidRPr="0089103D" w:rsidTr="00E252C4">
        <w:trPr>
          <w:trHeight w:val="85"/>
        </w:trPr>
        <w:tc>
          <w:tcPr>
            <w:tcW w:w="813" w:type="dxa"/>
          </w:tcPr>
          <w:p w:rsidR="00E252C4" w:rsidRPr="0089103D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8" w:type="dxa"/>
          </w:tcPr>
          <w:p w:rsidR="00E252C4" w:rsidRPr="00B96183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нас с женой молодая семья и есть двое детей 1,5 и 3 года. На какую помощь и поддержку мы можем рассчитывать со стороны областного бюджета?</w:t>
            </w:r>
          </w:p>
        </w:tc>
        <w:tc>
          <w:tcPr>
            <w:tcW w:w="7472" w:type="dxa"/>
          </w:tcPr>
          <w:p w:rsidR="00E252C4" w:rsidRPr="00B96183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территории области ведется активная  поддержка семей с детьми. Так при рождении ребенка за счет средств областного бюджета семья получает единовременное пособие на рождение в размере 1 000,0 рублей, назначается ежемесячное пособие в размере 296,0 рублей, ежемесячная компенсация на питание на ребенка до года в размере 434,0 рубля и на ребенка от 1,5 до трех лет 377,0 рублей.</w:t>
            </w:r>
          </w:p>
        </w:tc>
      </w:tr>
      <w:tr w:rsidR="00E252C4" w:rsidRPr="0089103D" w:rsidTr="00E252C4">
        <w:tc>
          <w:tcPr>
            <w:tcW w:w="813" w:type="dxa"/>
          </w:tcPr>
          <w:p w:rsidR="00E252C4" w:rsidRPr="0089103D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8" w:type="dxa"/>
          </w:tcPr>
          <w:p w:rsidR="00E252C4" w:rsidRPr="00B96183" w:rsidRDefault="00E252C4" w:rsidP="00615C3A">
            <w:pPr>
              <w:jc w:val="both"/>
              <w:rPr>
                <w:sz w:val="28"/>
                <w:szCs w:val="28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ребенок-сирота. Мне 23 года. Собственного жилья у меня нет. В учебном заведении я проживал</w:t>
            </w:r>
            <w:r w:rsidR="00CA1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общежитии. В этом году заканчиваю обучение</w:t>
            </w:r>
            <w:bookmarkStart w:id="0" w:name="_GoBack"/>
            <w:bookmarkEnd w:id="0"/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 дальше мне жить негде. Когда я могу рассчитывать на получение жилья как ребенок-сирота?</w:t>
            </w:r>
          </w:p>
        </w:tc>
        <w:tc>
          <w:tcPr>
            <w:tcW w:w="7472" w:type="dxa"/>
          </w:tcPr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Брянской области по состоянию на 1 января 2018 года в сводном списке детей-сирот, детей, оставшихся без попечения родителей, лиц из их числа, подлежащих обеспечению жилыми помещениями, состоит 2864 человека, право на получение жилья возникло у 2004 детей.</w:t>
            </w:r>
          </w:p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2017 году объем расходов, направленных на приобретение жилых помещений детям-сиротам составил 254,0 </w:t>
            </w:r>
            <w:proofErr w:type="spellStart"/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млн.рублей</w:t>
            </w:r>
            <w:proofErr w:type="spellEnd"/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 счет которых было приобретено 285 жилых помещений.</w:t>
            </w:r>
          </w:p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обеспечение жилыми помещениями детей-сирот и детей, оставшихся без попечения родителей, в 2018 году за счет средств областного бюджета предусмотрено 320,0 млн. рублей, что на 150,0 млн. рублей больше, чем в прошлом году. Кроме того, привлечены средства субсидии из федерального бюджета в объеме 77,4 млн. рублей. Всего на 2018 год запланировано 397,4 млн. рублей, что позволит приобрести 419 жилых помещений.</w:t>
            </w:r>
          </w:p>
          <w:p w:rsidR="00E252C4" w:rsidRPr="003116BE" w:rsidRDefault="00E252C4" w:rsidP="00615C3A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по ликвидации очередности на предоставление жилых помещений детям-сиротам и детям, оставшимся без попечения родителей, находится на постоянном контроле в Правительстве Брянской области.</w:t>
            </w:r>
          </w:p>
        </w:tc>
      </w:tr>
      <w:tr w:rsidR="00E252C4" w:rsidRPr="0089103D" w:rsidTr="00E252C4">
        <w:tc>
          <w:tcPr>
            <w:tcW w:w="813" w:type="dxa"/>
          </w:tcPr>
          <w:p w:rsidR="00E252C4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6808" w:type="dxa"/>
          </w:tcPr>
          <w:p w:rsidR="00E252C4" w:rsidRPr="00B96183" w:rsidRDefault="00E252C4" w:rsidP="00615C3A">
            <w:pPr>
              <w:jc w:val="both"/>
              <w:rPr>
                <w:sz w:val="28"/>
                <w:szCs w:val="28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Сегодня много говорится об увеличении МРОТ и повышении заработной платы врачам и учителям. Как с этим обстоят дела в нашей области?!</w:t>
            </w:r>
          </w:p>
        </w:tc>
        <w:tc>
          <w:tcPr>
            <w:tcW w:w="7472" w:type="dxa"/>
          </w:tcPr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Федеральным законом   от  19.06.2000 № 82-ФЗ «О минимальном размере оплаты труда»  МРОТ с 1 января 2018 года установлен в размере  9 489 рублей. В декабре 2017 года трехсторонней комиссией между Правительством Брянской области, Союзом организаций профсоюзов "Федерация профсоюзов Брянской области" и Брянской областной Ассоциацией промышленников и предпринимателей-Региональным объединением работодателей о минимальной заработной плате в Брянской </w:t>
            </w: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 на 2018 год было подписано региональное соглашение о минимальной заработной плате в Брянской области на 2018 год, которая составила 9 550 рублей для организаций бюджетного сектора экономики, а для организаций внебюджетного сектора – в размере величины прожиточного минимума трудоспособного населения Брянской области, рассчитанного по итогам второго квартала 2017 года – 10 615 рублей. С 1 мая 2018 года МРОТ составил 11 163 рубля.</w:t>
            </w:r>
          </w:p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касается «майских указов» Президента России В.В. Путина, призванных обеспечить рост заработной платы, то ц</w:t>
            </w: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елевым показателем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их </w:t>
            </w: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исполнения является уровень соотношения заработной платы, которая в 2018 году должна составлять не менее 200 % для врачей и 100 % — для остальных категорий работников (педагогические работники дошкольных образовательных организаций, педагогические работники общеобразовательных организаций, педагогические работники организаций дополнительного образования детей, преподаватели и мастера производственного обучения образовательных учреждений среднего профессионального образования, средний медицинский персонал, младший медицинский персонал, педагогические работники образовательных, медицинских организаций или организаций, оказывающих социальные услуги детям-сиротам и детям, оставшимся без попечения родителей, социальные работники, работники </w:t>
            </w: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учреждений культуры) к среднемесячному доходу от трудовой деятельности в регионе, за исключением </w:t>
            </w:r>
            <w:proofErr w:type="spellStart"/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дополнительного образования детей и дошкольных образовательных учреждений, для которых ориентиром служит заработная плата учителей и заработная плата в сфере общего образования.</w:t>
            </w:r>
          </w:p>
          <w:p w:rsidR="00E252C4" w:rsidRPr="00734960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 официальным данным Росстата за первый квартал 2018 года целевые показатели реализации указов по Брянской области достигнуты. </w:t>
            </w:r>
          </w:p>
          <w:p w:rsidR="00E252C4" w:rsidRPr="003116BE" w:rsidRDefault="00E252C4" w:rsidP="00615C3A">
            <w:pPr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734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Средства, необходимые на повышение оплаты труда отдельных категорий работников для обеспечения достижения целевых показателей, определенных указами Президента Российской Федерации на 2018 год, и на повышение МРОТ предусмотрены в консолидированном бюджете Брянской области в полном объеме.</w:t>
            </w:r>
          </w:p>
        </w:tc>
      </w:tr>
      <w:tr w:rsidR="00E252C4" w:rsidRPr="0089103D" w:rsidTr="00E252C4">
        <w:tc>
          <w:tcPr>
            <w:tcW w:w="813" w:type="dxa"/>
          </w:tcPr>
          <w:p w:rsidR="00E252C4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6808" w:type="dxa"/>
          </w:tcPr>
          <w:p w:rsidR="00E252C4" w:rsidRPr="003454DD" w:rsidRDefault="00E252C4" w:rsidP="00615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Хочу задать вопрос по поводу развития сельских территорий. Живу в </w:t>
            </w:r>
            <w:proofErr w:type="spellStart"/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Гордеевском</w:t>
            </w:r>
            <w:proofErr w:type="spellEnd"/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районе, остро стоит вопрос с водопроводными сетями. Оказывается ли поддержка в 2017 году нашему району на эти цели из средств областного бюджета. Что уже сделано?</w:t>
            </w:r>
          </w:p>
          <w:p w:rsidR="00E252C4" w:rsidRPr="00B96183" w:rsidRDefault="00E252C4" w:rsidP="00615C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72" w:type="dxa"/>
          </w:tcPr>
          <w:p w:rsidR="00E252C4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C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систем  водоснабжения для населенных пунктов Брянской области играет исключительно важную роль в обеспечении жизнедеятельности всего региона. Современные условия жизни и быта требуют постоянного повышения качества водоснабжения.</w:t>
            </w:r>
          </w:p>
          <w:p w:rsidR="00E252C4" w:rsidRPr="00E32996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целях улучшения  ситуации в сфере водоснабжения населенных пунктов Брянской области  Правительством Брянской области утверждены  региональные подпрограммы,  такие как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(2017 - 2020 годы),  «Чистая вода» (2015–2020 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годы),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Реабилитация населения и территории Брянской области, подвергшихся радиационному воздействию вследствие катастрофы на Чернобыльской АЭС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(2014 - 2020 годы),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социальной и инженерной инфраструктуры Брянской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(2014 - 2020 годы).</w:t>
            </w:r>
          </w:p>
          <w:p w:rsidR="00E252C4" w:rsidRPr="00E32996" w:rsidRDefault="00E252C4" w:rsidP="00615C3A">
            <w:pPr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финансирование мероприятий по строительству и реконструкции систем водоснабжения для населенных пунктов Брянской области в рамках указанных программ  в 2017 году было выделено  143,116 млн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рублей, в том числе средства федерального бюджета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составили 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29,036 млн. руб. </w:t>
            </w:r>
          </w:p>
          <w:p w:rsidR="00E252C4" w:rsidRPr="00B96183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касается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Гордеевского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района, 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2017 году в рамках подпрограммы «Чистая вода» (2015–2020 годы), входящей в состав государственной программы «Развитие топливно энергетического комплекса и жилищно-коммунального хозяйства Брянской области» (2014–2020 годы)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бюджету 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реконструкцию сетей водоснабжения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д.Рудня</w:t>
            </w:r>
            <w:proofErr w:type="spellEnd"/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-Воробьевка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E3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выделено 3,127 млн. руб.  и  введено в эксплуатацию  3,729  км  сетей водоснабжения и 1 водонапорная  башня.</w:t>
            </w:r>
          </w:p>
        </w:tc>
      </w:tr>
      <w:tr w:rsidR="00E252C4" w:rsidRPr="0089103D" w:rsidTr="00E252C4">
        <w:tc>
          <w:tcPr>
            <w:tcW w:w="813" w:type="dxa"/>
          </w:tcPr>
          <w:p w:rsidR="00E252C4" w:rsidRDefault="00E252C4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808" w:type="dxa"/>
          </w:tcPr>
          <w:p w:rsidR="00E252C4" w:rsidRPr="005D567B" w:rsidRDefault="00E252C4" w:rsidP="00615C3A">
            <w:pPr>
              <w:jc w:val="both"/>
              <w:rPr>
                <w:sz w:val="28"/>
                <w:szCs w:val="28"/>
              </w:rPr>
            </w:pPr>
            <w:r w:rsidRPr="003454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Брянская область по бюджетным показателям выглядит на фоне других областей?</w:t>
            </w:r>
          </w:p>
        </w:tc>
        <w:tc>
          <w:tcPr>
            <w:tcW w:w="7472" w:type="dxa"/>
          </w:tcPr>
          <w:p w:rsidR="00E252C4" w:rsidRDefault="00E252C4" w:rsidP="00615C3A">
            <w:pPr>
              <w:jc w:val="both"/>
              <w:outlineLvl w:val="0"/>
              <w:rPr>
                <w:sz w:val="28"/>
                <w:szCs w:val="28"/>
              </w:rPr>
            </w:pPr>
            <w:r w:rsidRPr="00961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системе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отдельных </w:t>
            </w:r>
            <w:r w:rsidRPr="00961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показателей структуры бюджетов регионов ЦФО для оценки бюджетной устойчивости регионов рассматривается показатель государственного долга  субъекта, характеризующий долговую нагрузку на региональные бюджеты.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Объем госдолга 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субъектов ЦФО в 2017 году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 на рисунке 1.</w:t>
            </w:r>
          </w:p>
          <w:p w:rsidR="00E252C4" w:rsidRPr="00994CC2" w:rsidRDefault="00E252C4" w:rsidP="00070D7F">
            <w:pPr>
              <w:ind w:firstLine="709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7F47F55D" wp14:editId="069CFBDB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-613410</wp:posOffset>
                  </wp:positionV>
                  <wp:extent cx="4607560" cy="2113280"/>
                  <wp:effectExtent l="0" t="0" r="0" b="0"/>
                  <wp:wrapSquare wrapText="bothSides"/>
                  <wp:docPr id="271" name="Диаграмма 27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riad Pro Cond" w:hAnsi="Myriad Pro Cond"/>
                <w:sz w:val="24"/>
                <w:szCs w:val="24"/>
              </w:rPr>
              <w:t>Рисунок 1. Государственный долг субъектов</w:t>
            </w:r>
            <w:r w:rsidRPr="00DE2956">
              <w:rPr>
                <w:rFonts w:ascii="Myriad Pro Cond" w:hAnsi="Myriad Pro Cond"/>
                <w:sz w:val="24"/>
                <w:szCs w:val="24"/>
              </w:rPr>
              <w:t xml:space="preserve"> ЦФО </w:t>
            </w:r>
            <w:r>
              <w:rPr>
                <w:rFonts w:ascii="Myriad Pro Cond" w:hAnsi="Myriad Pro Cond"/>
                <w:sz w:val="24"/>
                <w:szCs w:val="24"/>
              </w:rPr>
              <w:t>в 2017 году, тыс. рублей</w:t>
            </w:r>
          </w:p>
          <w:p w:rsidR="00E252C4" w:rsidRPr="003454DD" w:rsidRDefault="00E252C4" w:rsidP="00615C3A">
            <w:pPr>
              <w:ind w:firstLine="709"/>
              <w:jc w:val="both"/>
              <w:outlineLvl w:val="0"/>
              <w:rPr>
                <w:sz w:val="6"/>
                <w:szCs w:val="6"/>
              </w:rPr>
            </w:pPr>
          </w:p>
          <w:p w:rsidR="00E252C4" w:rsidRPr="00615C3A" w:rsidRDefault="00E252C4" w:rsidP="00070D7F">
            <w:pPr>
              <w:spacing w:line="216" w:lineRule="auto"/>
              <w:ind w:firstLine="743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проводимой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Правительством Брянской области </w:t>
            </w:r>
            <w:r w:rsidRPr="0099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долговой политики за 2017 год объем государственного долга сокращен на 1241 млн. рублей (с 12 988,6 млн. рублей -  по состоянию на 01.01.2017, до 11 747,6 млн. рублей – по состоянию на 01.01.2018).</w:t>
            </w:r>
          </w:p>
          <w:p w:rsidR="00E252C4" w:rsidRPr="00070D7F" w:rsidRDefault="00E252C4" w:rsidP="00070D7F">
            <w:pPr>
              <w:spacing w:line="216" w:lineRule="auto"/>
              <w:ind w:firstLine="743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госдолга в объеме налоговых и неналоговых доходов за 2017 год  снизилась  на 8,6 процентных пункта  и по состоянию на 01.01.2018 составила 47 процентов (по состоянию на 01.01.2017 - 55,6%), что позволяет рассматривать Брянскую область в качестве  региона с высокой долговой устойчивостью. </w:t>
            </w:r>
          </w:p>
          <w:p w:rsidR="00E252C4" w:rsidRDefault="00E252C4" w:rsidP="00070D7F">
            <w:pPr>
              <w:spacing w:line="216" w:lineRule="auto"/>
              <w:ind w:firstLine="743"/>
              <w:jc w:val="both"/>
              <w:outlineLvl w:val="0"/>
              <w:rPr>
                <w:sz w:val="28"/>
                <w:szCs w:val="28"/>
              </w:rPr>
            </w:pP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Еще 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системе показателей </w:t>
            </w:r>
            <w:r w:rsidRPr="00961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бюджетной устойчивости регионов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 дефицита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(профицита)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бюджета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Размер д</w:t>
            </w:r>
            <w:r w:rsidRPr="00745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ефицита/профицита бюджетов субъектов ЦФО в 2017 году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 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рисунке 2.</w:t>
            </w:r>
          </w:p>
          <w:p w:rsidR="00E252C4" w:rsidRDefault="00E252C4" w:rsidP="00615C3A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15C3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F8F831F" wp14:editId="3FA6464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42545</wp:posOffset>
                  </wp:positionV>
                  <wp:extent cx="4500245" cy="2956560"/>
                  <wp:effectExtent l="0" t="0" r="0" b="0"/>
                  <wp:wrapSquare wrapText="bothSides"/>
                  <wp:docPr id="269" name="Диаграмма 26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52C4" w:rsidRDefault="00E252C4" w:rsidP="00615C3A">
            <w:pPr>
              <w:spacing w:line="192" w:lineRule="auto"/>
              <w:ind w:firstLine="709"/>
              <w:jc w:val="right"/>
              <w:outlineLvl w:val="0"/>
              <w:rPr>
                <w:rFonts w:ascii="Myriad Pro Cond" w:hAnsi="Myriad Pro Cond"/>
                <w:sz w:val="24"/>
                <w:szCs w:val="24"/>
              </w:rPr>
            </w:pPr>
            <w:r>
              <w:rPr>
                <w:rFonts w:ascii="Myriad Pro Cond" w:hAnsi="Myriad Pro Cond"/>
                <w:sz w:val="24"/>
                <w:szCs w:val="24"/>
              </w:rPr>
              <w:t>Дефицит</w:t>
            </w:r>
            <w:r w:rsidRPr="00FC326E">
              <w:rPr>
                <w:rFonts w:ascii="Myriad Pro Cond" w:hAnsi="Myriad Pro Cond"/>
                <w:sz w:val="24"/>
                <w:szCs w:val="24"/>
              </w:rPr>
              <w:t xml:space="preserve"> (</w:t>
            </w:r>
            <w:r>
              <w:rPr>
                <w:rFonts w:ascii="Myriad Pro Cond" w:hAnsi="Myriad Pro Cond"/>
                <w:sz w:val="24"/>
                <w:szCs w:val="24"/>
              </w:rPr>
              <w:t>-</w:t>
            </w:r>
            <w:r w:rsidRPr="00FC326E">
              <w:rPr>
                <w:rFonts w:ascii="Myriad Pro Cond" w:hAnsi="Myriad Pro Cond"/>
                <w:sz w:val="24"/>
                <w:szCs w:val="24"/>
              </w:rPr>
              <w:t>)</w:t>
            </w:r>
            <w:r>
              <w:rPr>
                <w:rFonts w:ascii="Myriad Pro Cond" w:hAnsi="Myriad Pro Cond"/>
                <w:sz w:val="24"/>
                <w:szCs w:val="24"/>
              </w:rPr>
              <w:t xml:space="preserve"> / профицит</w:t>
            </w:r>
            <w:r w:rsidRPr="00FC326E">
              <w:rPr>
                <w:rFonts w:ascii="Myriad Pro Cond" w:hAnsi="Myriad Pro Cond"/>
                <w:sz w:val="24"/>
                <w:szCs w:val="24"/>
              </w:rPr>
              <w:t xml:space="preserve"> (</w:t>
            </w:r>
            <w:r>
              <w:rPr>
                <w:rFonts w:ascii="Myriad Pro Cond" w:hAnsi="Myriad Pro Cond"/>
                <w:sz w:val="24"/>
                <w:szCs w:val="24"/>
              </w:rPr>
              <w:t>+</w:t>
            </w:r>
            <w:r w:rsidRPr="00FC326E">
              <w:rPr>
                <w:rFonts w:ascii="Myriad Pro Cond" w:hAnsi="Myriad Pro Cond"/>
                <w:sz w:val="24"/>
                <w:szCs w:val="24"/>
              </w:rPr>
              <w:t>)</w:t>
            </w:r>
            <w:r>
              <w:rPr>
                <w:rFonts w:ascii="Myriad Pro Cond" w:hAnsi="Myriad Pro Cond"/>
                <w:sz w:val="24"/>
                <w:szCs w:val="24"/>
              </w:rPr>
              <w:t xml:space="preserve"> бюджетов субъектов</w:t>
            </w:r>
            <w:r w:rsidRPr="00DE2956">
              <w:rPr>
                <w:rFonts w:ascii="Myriad Pro Cond" w:hAnsi="Myriad Pro Cond"/>
                <w:sz w:val="24"/>
                <w:szCs w:val="24"/>
              </w:rPr>
              <w:t xml:space="preserve"> ЦФО </w:t>
            </w:r>
            <w:r>
              <w:rPr>
                <w:rFonts w:ascii="Myriad Pro Cond" w:hAnsi="Myriad Pro Cond"/>
                <w:sz w:val="24"/>
                <w:szCs w:val="24"/>
              </w:rPr>
              <w:t>в 2017</w:t>
            </w:r>
            <w:r w:rsidRPr="00DE2956">
              <w:rPr>
                <w:rFonts w:ascii="Myriad Pro Cond" w:hAnsi="Myriad Pro Cond"/>
                <w:sz w:val="24"/>
                <w:szCs w:val="24"/>
              </w:rPr>
              <w:t xml:space="preserve"> год</w:t>
            </w:r>
            <w:r>
              <w:rPr>
                <w:rFonts w:ascii="Myriad Pro Cond" w:hAnsi="Myriad Pro Cond"/>
                <w:sz w:val="24"/>
                <w:szCs w:val="24"/>
              </w:rPr>
              <w:t xml:space="preserve">у, </w:t>
            </w:r>
            <w:r>
              <w:rPr>
                <w:rFonts w:ascii="Myriad Pro Cond" w:hAnsi="Myriad Pro Cond"/>
              </w:rPr>
              <w:t>млн</w:t>
            </w:r>
            <w:r>
              <w:rPr>
                <w:rFonts w:ascii="Myriad Pro Cond" w:hAnsi="Myriad Pro Cond"/>
                <w:sz w:val="24"/>
                <w:szCs w:val="24"/>
              </w:rPr>
              <w:t>. рублей</w:t>
            </w:r>
          </w:p>
          <w:p w:rsidR="00E252C4" w:rsidRDefault="00E252C4" w:rsidP="00615C3A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E252C4" w:rsidRPr="005D567B" w:rsidRDefault="00E252C4" w:rsidP="00615C3A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15C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исполнения областного бюджета в 2017 году объем доходов превысил объем расходов и сложился профицит бюджета в сумме 1,5 млрд. рублей.</w:t>
            </w:r>
          </w:p>
        </w:tc>
      </w:tr>
    </w:tbl>
    <w:p w:rsidR="005F4FD9" w:rsidRPr="005F4FD9" w:rsidRDefault="005F4FD9" w:rsidP="00EE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4FD9" w:rsidRPr="005F4FD9" w:rsidSect="0089103D">
      <w:footerReference w:type="default" r:id="rId10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E7" w:rsidRDefault="00153AE7" w:rsidP="00EE3CD3">
      <w:pPr>
        <w:spacing w:after="0" w:line="240" w:lineRule="auto"/>
      </w:pPr>
      <w:r>
        <w:separator/>
      </w:r>
    </w:p>
  </w:endnote>
  <w:endnote w:type="continuationSeparator" w:id="0">
    <w:p w:rsidR="00153AE7" w:rsidRDefault="00153AE7" w:rsidP="00EE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571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5C3A" w:rsidRPr="00EE3CD3" w:rsidRDefault="00615C3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3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8E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5C3A" w:rsidRDefault="00615C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E7" w:rsidRDefault="00153AE7" w:rsidP="00EE3CD3">
      <w:pPr>
        <w:spacing w:after="0" w:line="240" w:lineRule="auto"/>
      </w:pPr>
      <w:r>
        <w:separator/>
      </w:r>
    </w:p>
  </w:footnote>
  <w:footnote w:type="continuationSeparator" w:id="0">
    <w:p w:rsidR="00153AE7" w:rsidRDefault="00153AE7" w:rsidP="00EE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371"/>
    <w:multiLevelType w:val="hybridMultilevel"/>
    <w:tmpl w:val="D4BE361E"/>
    <w:lvl w:ilvl="0" w:tplc="65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9"/>
    <w:rsid w:val="00045821"/>
    <w:rsid w:val="000503C4"/>
    <w:rsid w:val="00070D7F"/>
    <w:rsid w:val="00076491"/>
    <w:rsid w:val="00153AE7"/>
    <w:rsid w:val="00196882"/>
    <w:rsid w:val="001E39AE"/>
    <w:rsid w:val="0023708E"/>
    <w:rsid w:val="002403FD"/>
    <w:rsid w:val="00265BC1"/>
    <w:rsid w:val="00371493"/>
    <w:rsid w:val="00386606"/>
    <w:rsid w:val="003F2D85"/>
    <w:rsid w:val="004878F1"/>
    <w:rsid w:val="004A4125"/>
    <w:rsid w:val="004F41EC"/>
    <w:rsid w:val="00586D10"/>
    <w:rsid w:val="005F4FD9"/>
    <w:rsid w:val="00615C3A"/>
    <w:rsid w:val="00653745"/>
    <w:rsid w:val="00663715"/>
    <w:rsid w:val="006C6179"/>
    <w:rsid w:val="00765A1B"/>
    <w:rsid w:val="007B5595"/>
    <w:rsid w:val="007F13DE"/>
    <w:rsid w:val="0089103D"/>
    <w:rsid w:val="008D1B17"/>
    <w:rsid w:val="009B779D"/>
    <w:rsid w:val="00A26BE7"/>
    <w:rsid w:val="00AC25F2"/>
    <w:rsid w:val="00B864F2"/>
    <w:rsid w:val="00CA18E5"/>
    <w:rsid w:val="00D66A8C"/>
    <w:rsid w:val="00E252C4"/>
    <w:rsid w:val="00E41A78"/>
    <w:rsid w:val="00EE3CD3"/>
    <w:rsid w:val="00F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OBMEN\&#1054;&#1088;&#1075;&#1072;&#1085;&#1080;&#1079;&#1072;&#1094;&#1080;&#1103;%20&#1080;&#1089;&#1087;&#1086;&#1083;&#1085;&#1077;&#1085;&#1080;&#1103;%20&#1073;&#1102;&#1076;&#1078;&#1077;&#1090;&#1072;\&#1091;&#1090;&#1086;&#1095;&#1085;&#1077;&#1085;&#1085;&#1099;&#1081;\&#1073;&#1102;&#1076;&#1078;&#1077;&#1090;&#1099;%20&#1088;&#1077;&#1075;&#1080;&#1086;&#1085;&#1086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OBMEN\&#1054;&#1088;&#1075;&#1072;&#1085;&#1080;&#1079;&#1072;&#1094;&#1080;&#1103;%20&#1080;&#1089;&#1087;&#1086;&#1083;&#1085;&#1077;&#1085;&#1080;&#1103;%20&#1073;&#1102;&#1076;&#1078;&#1077;&#1090;&#1072;\&#1091;&#1090;&#1086;&#1095;&#1085;&#1077;&#1085;&#1085;&#1099;&#1081;\&#1073;&#1102;&#1076;&#1078;&#1077;&#1090;&#1099;%20&#1088;&#1077;&#1075;&#1080;&#1086;&#1085;&#1086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9.2592592592592587E-3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2104111986001751E-4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2505916972721395E-3"/>
                  <c:y val="1.6530896176763999E-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6.8506127978179088E-3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3.0680164389078533E-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505916972721395E-3"/>
                  <c:y val="1.5188141286738122E-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2.3193871106514104E-3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1.683935452573386E-2"/>
                </c:manualLayout>
              </c:layout>
              <c:spPr/>
              <c:txPr>
                <a:bodyPr rot="-5400000" vert="horz"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0.223464344228533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0.228153460316879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0.28286683203207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0.271141753544525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0.2762130101690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2503357451699917E-3"/>
                  <c:y val="0.263465991780546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3.2505916972721395E-3"/>
                  <c:y val="0.236508837285932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  <a:latin typeface="Myriad Pro Cond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Sheet1!$A$2:$A$17</c:f>
              <c:strCache>
                <c:ptCount val="16"/>
                <c:pt idx="0">
                  <c:v>Владимирская область</c:v>
                </c:pt>
                <c:pt idx="1">
                  <c:v>Брянская область</c:v>
                </c:pt>
                <c:pt idx="2">
                  <c:v>Курская область</c:v>
                </c:pt>
                <c:pt idx="3">
                  <c:v>Ивановская область</c:v>
                </c:pt>
                <c:pt idx="4">
                  <c:v>Липецкая область</c:v>
                </c:pt>
                <c:pt idx="5">
                  <c:v>Орловская область</c:v>
                </c:pt>
                <c:pt idx="6">
                  <c:v>Тамбовская область</c:v>
                </c:pt>
                <c:pt idx="7">
                  <c:v>Рязанская область</c:v>
                </c:pt>
                <c:pt idx="8">
                  <c:v>Тульская область</c:v>
                </c:pt>
                <c:pt idx="9">
                  <c:v>Костромская область</c:v>
                </c:pt>
                <c:pt idx="10">
                  <c:v>Тверская область</c:v>
                </c:pt>
                <c:pt idx="11">
                  <c:v>Калужская область</c:v>
                </c:pt>
                <c:pt idx="12">
                  <c:v>Воронежская область</c:v>
                </c:pt>
                <c:pt idx="13">
                  <c:v>Смоленская область</c:v>
                </c:pt>
                <c:pt idx="14">
                  <c:v>Белгородская область</c:v>
                </c:pt>
                <c:pt idx="15">
                  <c:v>Ярославская область</c:v>
                </c:pt>
              </c:strCache>
            </c:strRef>
          </c:cat>
          <c:val>
            <c:numRef>
              <c:f>Sheet1!$J$2:$J$17</c:f>
              <c:numCache>
                <c:formatCode>#,##0.00</c:formatCode>
                <c:ptCount val="16"/>
                <c:pt idx="0">
                  <c:v>4161.9107746700001</c:v>
                </c:pt>
                <c:pt idx="1">
                  <c:v>11747.650159780002</c:v>
                </c:pt>
                <c:pt idx="2">
                  <c:v>9264.1150942400018</c:v>
                </c:pt>
                <c:pt idx="3">
                  <c:v>16765.973916070001</c:v>
                </c:pt>
                <c:pt idx="4">
                  <c:v>16401.913498729999</c:v>
                </c:pt>
                <c:pt idx="5">
                  <c:v>18341.51984347</c:v>
                </c:pt>
                <c:pt idx="6">
                  <c:v>16540.850868199999</c:v>
                </c:pt>
                <c:pt idx="7">
                  <c:v>24361.852857529997</c:v>
                </c:pt>
                <c:pt idx="8">
                  <c:v>18676.396000000001</c:v>
                </c:pt>
                <c:pt idx="9">
                  <c:v>21989.339328770002</c:v>
                </c:pt>
                <c:pt idx="10">
                  <c:v>25645.450629399998</c:v>
                </c:pt>
                <c:pt idx="11">
                  <c:v>30177.62244875</c:v>
                </c:pt>
                <c:pt idx="12">
                  <c:v>33489.49134932999</c:v>
                </c:pt>
                <c:pt idx="13">
                  <c:v>29500.159974730002</c:v>
                </c:pt>
                <c:pt idx="14">
                  <c:v>39762.487375069999</c:v>
                </c:pt>
                <c:pt idx="15">
                  <c:v>36165.994138959999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29587072"/>
        <c:axId val="129588608"/>
      </c:barChart>
      <c:catAx>
        <c:axId val="129587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1100">
                <a:latin typeface="Myriad Pro Cond" pitchFamily="34" charset="0"/>
              </a:defRPr>
            </a:pPr>
            <a:endParaRPr lang="ru-RU"/>
          </a:p>
        </c:txPr>
        <c:crossAx val="129588608"/>
        <c:crosses val="autoZero"/>
        <c:auto val="1"/>
        <c:lblAlgn val="ctr"/>
        <c:lblOffset val="100"/>
        <c:noMultiLvlLbl val="0"/>
      </c:catAx>
      <c:valAx>
        <c:axId val="129588608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295870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2165561323762"/>
          <c:y val="2.0651504856309205E-2"/>
          <c:w val="0.8940765481633941"/>
          <c:h val="0.748896193118487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DA0000"/>
            </a:solidFill>
          </c:spPr>
          <c:invertIfNegative val="0"/>
          <c:dLbls>
            <c:dLbl>
              <c:idx val="5"/>
              <c:layout>
                <c:manualLayout>
                  <c:x val="0"/>
                  <c:y val="2.030456852791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2.60599163666677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-2 387,0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2.7802968275518983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-2 575,8</a:t>
                    </a:r>
                    <a:r>
                      <a:rPr lang="ru-RU" sz="900" baseline="0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28848765030243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-1 971,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7.1065697973320338E-2"/>
                </c:manualLayout>
              </c:layout>
              <c:spPr/>
              <c:txPr>
                <a:bodyPr rot="-5400000" vert="horz" anchor="b" anchorCtr="1"/>
                <a:lstStyle/>
                <a:p>
                  <a:pPr>
                    <a:defRPr sz="900" b="0">
                      <a:solidFill>
                        <a:schemeClr val="bg1"/>
                      </a:solidFill>
                      <a:latin typeface="Myriad Pro Cond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1.1670390139911948E-16"/>
                  <c:y val="2.0566242084425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 anchor="b" anchorCtr="1"/>
              <a:lstStyle/>
              <a:p>
                <a:pPr>
                  <a:defRPr sz="900" b="0">
                    <a:latin typeface="Myriad Pro Cond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Sheet1!$A$2:$A$17</c:f>
              <c:strCache>
                <c:ptCount val="16"/>
                <c:pt idx="0">
                  <c:v>Владимирская область</c:v>
                </c:pt>
                <c:pt idx="1">
                  <c:v>Брянская область</c:v>
                </c:pt>
                <c:pt idx="2">
                  <c:v>Курская область</c:v>
                </c:pt>
                <c:pt idx="3">
                  <c:v>Ивановская область</c:v>
                </c:pt>
                <c:pt idx="4">
                  <c:v>Липецкая область</c:v>
                </c:pt>
                <c:pt idx="5">
                  <c:v>Орловская область</c:v>
                </c:pt>
                <c:pt idx="6">
                  <c:v>Тамбовская область</c:v>
                </c:pt>
                <c:pt idx="7">
                  <c:v>Рязанская область</c:v>
                </c:pt>
                <c:pt idx="8">
                  <c:v>Тульская область</c:v>
                </c:pt>
                <c:pt idx="9">
                  <c:v>Костромская область</c:v>
                </c:pt>
                <c:pt idx="10">
                  <c:v>Тверская область</c:v>
                </c:pt>
                <c:pt idx="11">
                  <c:v>Калужская область</c:v>
                </c:pt>
                <c:pt idx="12">
                  <c:v>Воронежская область</c:v>
                </c:pt>
                <c:pt idx="13">
                  <c:v>Смоленская область</c:v>
                </c:pt>
                <c:pt idx="14">
                  <c:v>Белгородская область</c:v>
                </c:pt>
                <c:pt idx="15">
                  <c:v>Ярославская область</c:v>
                </c:pt>
              </c:strCache>
            </c:strRef>
          </c:cat>
          <c:val>
            <c:numRef>
              <c:f>Sheet1!$I$2:$I$17</c:f>
              <c:numCache>
                <c:formatCode>#,##0.00</c:formatCode>
                <c:ptCount val="16"/>
                <c:pt idx="0">
                  <c:v>881.52836030999606</c:v>
                </c:pt>
                <c:pt idx="1">
                  <c:v>1529.6941828499985</c:v>
                </c:pt>
                <c:pt idx="2">
                  <c:v>779.75097049999749</c:v>
                </c:pt>
                <c:pt idx="3">
                  <c:v>14.421939610001573</c:v>
                </c:pt>
                <c:pt idx="4">
                  <c:v>1658.7683292700021</c:v>
                </c:pt>
                <c:pt idx="5">
                  <c:v>-2245.8778663500016</c:v>
                </c:pt>
                <c:pt idx="6">
                  <c:v>-2387.0370045099917</c:v>
                </c:pt>
                <c:pt idx="7">
                  <c:v>4158.8155944199971</c:v>
                </c:pt>
                <c:pt idx="8">
                  <c:v>-2575.8619429200044</c:v>
                </c:pt>
                <c:pt idx="9">
                  <c:v>-1971.1905879300029</c:v>
                </c:pt>
                <c:pt idx="10">
                  <c:v>2380.244081689998</c:v>
                </c:pt>
                <c:pt idx="11">
                  <c:v>584.2066893200099</c:v>
                </c:pt>
                <c:pt idx="12">
                  <c:v>7336.3920628399937</c:v>
                </c:pt>
                <c:pt idx="13">
                  <c:v>828.36384574999829</c:v>
                </c:pt>
                <c:pt idx="14">
                  <c:v>1410.3701393800002</c:v>
                </c:pt>
                <c:pt idx="15">
                  <c:v>-2152.1866770299966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axId val="129609088"/>
        <c:axId val="129836160"/>
      </c:barChart>
      <c:catAx>
        <c:axId val="1296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vert="horz" anchor="ctr" anchorCtr="0"/>
          <a:lstStyle/>
          <a:p>
            <a:pPr>
              <a:defRPr sz="850" baseline="0">
                <a:latin typeface="Myriad Pro Cond" pitchFamily="34" charset="0"/>
              </a:defRPr>
            </a:pPr>
            <a:endParaRPr lang="ru-RU"/>
          </a:p>
        </c:txPr>
        <c:crossAx val="129836160"/>
        <c:crosses val="autoZero"/>
        <c:auto val="0"/>
        <c:lblAlgn val="ctr"/>
        <c:lblOffset val="100"/>
        <c:tickLblSkip val="1"/>
        <c:noMultiLvlLbl val="0"/>
      </c:catAx>
      <c:valAx>
        <c:axId val="129836160"/>
        <c:scaling>
          <c:orientation val="minMax"/>
        </c:scaling>
        <c:delete val="0"/>
        <c:axPos val="l"/>
        <c:numFmt formatCode="#,##0.00" sourceLinked="1"/>
        <c:majorTickMark val="out"/>
        <c:minorTickMark val="none"/>
        <c:tickLblPos val="nextTo"/>
        <c:crossAx val="1296090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4</cp:revision>
  <cp:lastPrinted>2017-06-19T14:02:00Z</cp:lastPrinted>
  <dcterms:created xsi:type="dcterms:W3CDTF">2018-05-28T13:12:00Z</dcterms:created>
  <dcterms:modified xsi:type="dcterms:W3CDTF">2018-06-25T05:31:00Z</dcterms:modified>
</cp:coreProperties>
</file>